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widowControl w:val="0"/>
        <w:wordWrap/>
        <w:adjustRightInd/>
        <w:snapToGrid/>
        <w:spacing w:before="0" w:after="0" w:line="40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bookmarkStart w:id="0" w:name="_GoBack"/>
      <w:bookmarkEnd w:id="0"/>
    </w:p>
    <w:p>
      <w:pPr>
        <w:jc w:val="center"/>
        <w:rPr>
          <w:rFonts w:hint="eastAsia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涧西区2021年引进研究生学历人才计划表</w:t>
      </w:r>
    </w:p>
    <w:tbl>
      <w:tblPr>
        <w:tblpPr w:leftFromText="180" w:rightFromText="180" w:vertAnchor="text" w:horzAnchor="page" w:tblpXSpec="center" w:tblpY="295"/>
        <w:tblOverlap w:val="never"/>
        <w:tblW w:w="11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6"/>
        <w:gridCol w:w="1078"/>
        <w:gridCol w:w="1075"/>
        <w:gridCol w:w="5820"/>
        <w:gridCol w:w="723"/>
        <w:gridCol w:w="1015"/>
      </w:tblGrid>
      <w:tr>
        <w:trPr>
          <w:trHeight w:val="522" w:hRule="atLeast"/>
          <w:jc w:val="center"/>
        </w:trPr>
        <w:tc>
          <w:tcPr>
            <w:tcW w:w="148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岗位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名称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岗位代码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center"/>
              <w:textAlignment w:val="auto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岗位级别</w:t>
            </w:r>
          </w:p>
        </w:tc>
        <w:tc>
          <w:tcPr>
            <w:tcW w:w="5820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专业名称</w:t>
            </w:r>
          </w:p>
        </w:tc>
        <w:tc>
          <w:tcPr>
            <w:tcW w:w="723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引进</w:t>
            </w:r>
          </w:p>
          <w:p>
            <w:pPr>
              <w:jc w:val="center"/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人数</w:t>
            </w:r>
          </w:p>
        </w:tc>
        <w:tc>
          <w:tcPr>
            <w:tcW w:w="1015" w:type="dxa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sz w:val="21"/>
                <w:szCs w:val="21"/>
                <w:lang w:eastAsia="zh-CN"/>
              </w:rPr>
              <w:t>备注</w:t>
            </w: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财会金融类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2101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财政学、税务、会计学、会计、审计、统计学、应用统计、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金融、金融学、税收学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工学类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2102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项目管理、工业设计工程、航天工程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2103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新能源科学与工程、新能源材料与器件、车辆新能源与节能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工程、储能技术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机械类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2104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工业设计、智能制造与智能装备、材料成型与装备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8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材料类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2105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材料物理与化学、材料学、材料加工工程、材料工程、光伏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材料与器件、新材料与技术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2106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复合材料、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  <w:t>先进复合材料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964" w:hRule="exact"/>
          <w:jc w:val="center"/>
        </w:trPr>
        <w:tc>
          <w:tcPr>
            <w:tcW w:w="148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电子信息类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2107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物理电子学、电路与系统、微电子学与固体电子学、电磁场与微波技术、集成电路科学、集成电路工程、通信与信息系统、信号与信息处理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2108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光伏工程、信息管理工程、光电信息工程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680" w:hRule="exact"/>
          <w:jc w:val="center"/>
        </w:trPr>
        <w:tc>
          <w:tcPr>
            <w:tcW w:w="1486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计算机类</w:t>
            </w:r>
          </w:p>
        </w:tc>
        <w:tc>
          <w:tcPr>
            <w:tcW w:w="1078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2109</w:t>
            </w:r>
          </w:p>
        </w:tc>
        <w:tc>
          <w:tcPr>
            <w:tcW w:w="107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计算机系统结构、计算机软件与理论、计算机应用技术、计算机技术、软件工程、网络空间安全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仿宋_GB2312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86" w:type="dxa"/>
            <w:vMerge w:val="continue"/>
            <w:vAlign w:val="top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2110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大数据科学与工程、图像处理与科学可视化、网络与信息安全、人工智能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文秘类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2111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语言学及应用语言学、汉语言文字学、中国现当代文学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法律类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2112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知识产权法学、知识产权、宪法学与行政法学、民商法学、</w:t>
            </w:r>
          </w:p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经济法学、侦查学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sz w:val="15"/>
                <w:szCs w:val="15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新闻传播学类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2113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新闻学、传播学、新闻与传播、广播电视学、广播电视艺术学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80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公共卫生类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2114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社会医学与卫生事业管理、流行病与卫生统计学、劳动卫生与环境卫生学、儿少卫生与妇幼保健学、卫生毒理学、公共卫生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管理类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2115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国际贸易学、国际商务、工商管理、工程管理、旅游管理、</w:t>
            </w:r>
          </w:p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行政管理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2116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电子政务、信息管理与电子政务、产业组织与管理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  <w:tr>
        <w:trPr>
          <w:trHeight w:val="96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城建农业类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2117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建筑与土木工程、结构工程、市政工程、安全技术及工程、城市规划、风景园林、防灾减灾工程及防护工程、安全工程、供热供燃气通风及空调工程、农业科技组织与服务、农业信息化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jc w:val="left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</w:p>
        </w:tc>
      </w:tr>
      <w:tr>
        <w:trPr>
          <w:trHeight w:val="624" w:hRule="exact"/>
          <w:jc w:val="center"/>
        </w:trPr>
        <w:tc>
          <w:tcPr>
            <w:tcW w:w="1486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  <w:t>教育学类</w:t>
            </w:r>
          </w:p>
        </w:tc>
        <w:tc>
          <w:tcPr>
            <w:tcW w:w="10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32"/>
                <w:lang w:val="en-US" w:eastAsia="zh-CN"/>
              </w:rPr>
              <w:t>2118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 w:val="21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1"/>
                <w:szCs w:val="24"/>
                <w:lang w:val="en-US" w:eastAsia="zh-CN"/>
              </w:rPr>
              <w:t>管理九级</w:t>
            </w:r>
          </w:p>
        </w:tc>
        <w:tc>
          <w:tcPr>
            <w:tcW w:w="58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3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1"/>
                <w:szCs w:val="21"/>
                <w:lang w:eastAsia="zh-CN"/>
              </w:rPr>
              <w:t>学前教育学、职业技术教育、国际语言教育、教育管理</w:t>
            </w:r>
          </w:p>
        </w:tc>
        <w:tc>
          <w:tcPr>
            <w:tcW w:w="723" w:type="dxa"/>
            <w:vAlign w:val="center"/>
          </w:tcPr>
          <w:p>
            <w:pPr>
              <w:widowControl w:val="0"/>
              <w:wordWrap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10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200" w:lineRule="exact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双一流</w:t>
            </w:r>
            <w:r>
              <w:rPr>
                <w:rFonts w:hint="eastAsia" w:ascii="Times New Roman" w:hAnsi="Times New Roman" w:eastAsia="仿宋_GB2312" w:cs="Times New Roman"/>
                <w:sz w:val="15"/>
                <w:szCs w:val="15"/>
                <w:lang w:eastAsia="zh-CN"/>
              </w:rPr>
              <w:t>建设</w:t>
            </w:r>
            <w:r>
              <w:rPr>
                <w:rFonts w:hint="default" w:ascii="Times New Roman" w:hAnsi="Times New Roman" w:eastAsia="仿宋_GB2312" w:cs="Times New Roman"/>
                <w:sz w:val="15"/>
                <w:szCs w:val="15"/>
                <w:lang w:eastAsia="zh-CN"/>
              </w:rPr>
              <w:t>高校（学科）</w:t>
            </w:r>
          </w:p>
        </w:tc>
      </w:tr>
    </w:tbl>
    <w:p>
      <w:pPr>
        <w:jc w:val="left"/>
        <w:rPr>
          <w:rFonts w:hint="default" w:ascii="Times New Roman" w:hAnsi="Times New Roman" w:cs="Times New Roman"/>
          <w:lang w:eastAsia="zh-CN"/>
        </w:rPr>
      </w:pPr>
    </w:p>
    <w:sectPr>
      <w:pgSz w:w="11906" w:h="16838"/>
      <w:pgMar w:top="850" w:right="850" w:bottom="850" w:left="850" w:header="851" w:footer="992" w:gutter="0"/>
      <w:paperSrc w:first="0" w:other="0"/>
      <w:cols w:space="720" w:num="1"/>
      <w:rtlGutter w:val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style w:type="paragraph" w:default="1" w:styleId="1">
    <w:name w:val="Normal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fontTable" Target="fontTable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 专业版_9.1.0.4167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2021-10-23T11:14:00Z</dcterms:created>
  <dc:creator>Administrator</dc:creator>
  <cp:lastPrinted>2021-11-03T18:40:20Z</cp:lastPrinted>
  <dcterms:modified xsi:type="dcterms:W3CDTF">2021-11-03T18:44:31Z</dcterms:modified>
  <dc:title>Administrator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2052-9.1.0.4167</vt:lpwstr>
  </property>
  <property fmtid="{D5CDD505-2E9C-101B-9397-08002B2CF9AE}" pid="3" name="ICV">
    <vt:lpwstr>8EBB661CB784482A9D4C65B609ADA0CC</vt:lpwstr>
  </property>
</Properties>
</file>